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17" w:rsidRDefault="00AB44E5">
      <w:pPr>
        <w:kinsoku w:val="0"/>
        <w:overflowPunct w:val="0"/>
        <w:spacing w:before="65"/>
        <w:ind w:right="229"/>
        <w:jc w:val="right"/>
        <w:rPr>
          <w:rFonts w:ascii="Arial" w:hAnsi="Arial" w:cs="Arial"/>
          <w:b/>
          <w:bCs/>
          <w:color w:val="211F1F"/>
          <w:spacing w:val="-4"/>
          <w:sz w:val="28"/>
          <w:szCs w:val="28"/>
        </w:rPr>
      </w:pPr>
      <w:r w:rsidRPr="00AB44E5">
        <w:rPr>
          <w:noProof/>
        </w:rPr>
        <w:pict>
          <v:rect id="Rectangle 2" o:spid="_x0000_s1026" style="position:absolute;left:0;text-align:left;margin-left:37.8pt;margin-top:-8.95pt;width:169pt;height:2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" o:allowincell="f" filled="f" stroked="f">
            <v:textbox inset="0,0,0,0">
              <w:txbxContent>
                <w:p w:rsidR="0039561C" w:rsidRDefault="00F735FA">
                  <w:pPr>
                    <w:widowControl/>
                    <w:autoSpaceDE/>
                    <w:autoSpaceDN/>
                    <w:adjustRightInd/>
                    <w:spacing w:line="560" w:lineRule="atLeast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133600" cy="35242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61C" w:rsidRDefault="0039561C"/>
              </w:txbxContent>
            </v:textbox>
            <w10:wrap anchorx="page"/>
          </v:rect>
        </w:pict>
      </w:r>
      <w:r w:rsidRPr="00AB44E5">
        <w:rPr>
          <w:noProof/>
        </w:rPr>
        <w:pict>
          <v:shape id="Freeform 3" o:spid="_x0000_s1029" style="position:absolute;left:0;text-align:left;margin-left:32.4pt;margin-top:22.7pt;width:554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" o:allowincell="f" path="m,l11090,e" filled="f" strokeweight=".20458mm">
            <v:path arrowok="t" o:connecttype="custom" o:connectlocs="0,0;7042150,0" o:connectangles="0,0"/>
            <w10:wrap anchorx="page"/>
          </v:shape>
        </w:pict>
      </w:r>
      <w:r w:rsidR="00D275CB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 xml:space="preserve"> BPAP Specialty Suppliers’ R</w:t>
      </w:r>
      <w:r w:rsidR="00520D17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 xml:space="preserve">oles and Responsibilities </w:t>
      </w:r>
    </w:p>
    <w:p w:rsidR="0039561C" w:rsidRDefault="00AB44E5" w:rsidP="00520D17">
      <w:pPr>
        <w:tabs>
          <w:tab w:val="left" w:pos="7103"/>
          <w:tab w:val="right" w:pos="11051"/>
        </w:tabs>
        <w:kinsoku w:val="0"/>
        <w:overflowPunct w:val="0"/>
        <w:spacing w:before="65"/>
        <w:ind w:right="229"/>
        <w:rPr>
          <w:rFonts w:ascii="Arial" w:hAnsi="Arial" w:cs="Arial"/>
          <w:color w:val="000000"/>
          <w:sz w:val="28"/>
          <w:szCs w:val="28"/>
        </w:rPr>
      </w:pPr>
      <w:r w:rsidRPr="00AB44E5">
        <w:rPr>
          <w:noProof/>
          <w:sz w:val="19"/>
          <w:szCs w:val="19"/>
        </w:rPr>
        <w:pict>
          <v:line id="Straight Connector 5" o:spid="_x0000_s1028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4.2pt" to="555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/utQEAALcDAAAOAAAAZHJzL2Uyb0RvYy54bWysU8GOEzEMvSPxD1HudKYVBT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" strokecolor="black [3040]"/>
        </w:pict>
      </w:r>
      <w:r w:rsidRPr="00AB44E5">
        <w:rPr>
          <w:noProof/>
        </w:rPr>
        <w:pict>
          <v:rect id="Rectangle 4" o:spid="_x0000_s1027" style="position:absolute;margin-left:3.25pt;margin-top:.7pt;width:554.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" fillcolor="white [3212]" stroked="f" strokeweight="2pt"/>
        </w:pict>
      </w:r>
      <w:r w:rsidR="00520D17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ab/>
      </w:r>
      <w:r w:rsidR="00520D17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ab/>
      </w:r>
    </w:p>
    <w:p w:rsidR="0039561C" w:rsidRDefault="0039561C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39561C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298"/>
      </w:pPr>
      <w:r>
        <w:t>Lead Client care services to ensure Clients are receiving acceptable benefits from BPAP treatment</w:t>
      </w:r>
      <w:r w:rsidR="00520D17">
        <w:t>.</w:t>
      </w:r>
    </w:p>
    <w:p w:rsidR="0039561C" w:rsidRDefault="0039561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9561C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287"/>
      </w:pPr>
      <w:r>
        <w:t>Inform physician of Client therapy issues</w:t>
      </w:r>
      <w:r w:rsidR="00520D17">
        <w:t>.</w:t>
      </w:r>
    </w:p>
    <w:p w:rsidR="0039561C" w:rsidRDefault="0039561C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39561C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t>Manage treatment in collaboration with Client, physician and other health professionals involved in Client’s care</w:t>
      </w:r>
      <w:r w:rsidR="00520D17">
        <w:t>.</w:t>
      </w:r>
    </w:p>
    <w:p w:rsidR="0039561C" w:rsidRDefault="0039561C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39561C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t>Provide 24-hour emergency service to address client BPAP concerns and return Client calls within one hour of notification of a Client problem</w:t>
      </w:r>
      <w:r w:rsidR="00520D17">
        <w:t>.</w:t>
      </w:r>
    </w:p>
    <w:p w:rsidR="0039561C" w:rsidRDefault="0039561C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39561C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716"/>
      </w:pPr>
      <w:r>
        <w:rPr>
          <w:spacing w:val="3"/>
        </w:rPr>
        <w:t>Ensure a Registered Respiratory Therapist experienced with BPAP therapy is available during all regular business hours to address Client concerns</w:t>
      </w:r>
      <w:r w:rsidR="00520D17">
        <w:rPr>
          <w:spacing w:val="3"/>
        </w:rPr>
        <w:t>.</w:t>
      </w:r>
    </w:p>
    <w:p w:rsidR="0039561C" w:rsidRDefault="0039561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9561C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183"/>
      </w:pPr>
      <w:r>
        <w:rPr>
          <w:spacing w:val="-1"/>
        </w:rPr>
        <w:t>Provide BPAP service at their office/clinic if problems cannot be resolved over the phone. Home visits are only required by exception and at their discretion</w:t>
      </w:r>
      <w:r w:rsidR="00520D17">
        <w:rPr>
          <w:spacing w:val="-1"/>
        </w:rPr>
        <w:t>.</w:t>
      </w:r>
    </w:p>
    <w:p w:rsidR="0039561C" w:rsidRDefault="0039561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FA279E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932"/>
      </w:pPr>
      <w:r>
        <w:t>Initiate BPAP therapy in a timely manner upon receipt of the approval:</w:t>
      </w:r>
    </w:p>
    <w:p w:rsidR="00FA279E" w:rsidRDefault="00FA279E" w:rsidP="00FA279E">
      <w:pPr>
        <w:pStyle w:val="ListParagraph"/>
      </w:pPr>
    </w:p>
    <w:p w:rsidR="00FA279E" w:rsidRDefault="00FA279E" w:rsidP="00FA279E">
      <w:pPr>
        <w:pStyle w:val="BodyText"/>
        <w:numPr>
          <w:ilvl w:val="1"/>
          <w:numId w:val="1"/>
        </w:numPr>
        <w:tabs>
          <w:tab w:val="left" w:pos="810"/>
        </w:tabs>
        <w:kinsoku w:val="0"/>
        <w:overflowPunct w:val="0"/>
        <w:ind w:left="810" w:right="932" w:hanging="270"/>
      </w:pPr>
      <w:r>
        <w:t>For urgent requests, initiation will be provided with 24 hours of the approval</w:t>
      </w:r>
      <w:r w:rsidR="00A02938">
        <w:t>.</w:t>
      </w:r>
    </w:p>
    <w:p w:rsidR="00FA279E" w:rsidRDefault="00FA279E" w:rsidP="00FA279E">
      <w:pPr>
        <w:pStyle w:val="BodyText"/>
        <w:numPr>
          <w:ilvl w:val="1"/>
          <w:numId w:val="1"/>
        </w:numPr>
        <w:tabs>
          <w:tab w:val="left" w:pos="810"/>
        </w:tabs>
        <w:kinsoku w:val="0"/>
        <w:overflowPunct w:val="0"/>
        <w:ind w:left="810" w:right="932" w:hanging="270"/>
      </w:pPr>
      <w:r>
        <w:t>For routine requests, contact the Client within one business day of the approval. Initiation will be provided within three business days of the approval unless a delay in required by the Client.</w:t>
      </w:r>
    </w:p>
    <w:p w:rsidR="0039561C" w:rsidRDefault="00A02938" w:rsidP="00FA279E">
      <w:pPr>
        <w:pStyle w:val="BodyText"/>
        <w:numPr>
          <w:ilvl w:val="1"/>
          <w:numId w:val="1"/>
        </w:numPr>
        <w:tabs>
          <w:tab w:val="left" w:pos="810"/>
        </w:tabs>
        <w:kinsoku w:val="0"/>
        <w:overflowPunct w:val="0"/>
        <w:ind w:left="810" w:right="932" w:hanging="270"/>
      </w:pPr>
      <w:r>
        <w:t>Communicate</w:t>
      </w:r>
      <w:r w:rsidR="00FA279E">
        <w:t xml:space="preserve"> with ABC if setup cannot be completed within the stated time frames</w:t>
      </w:r>
      <w:r w:rsidR="00520D17">
        <w:t>.</w:t>
      </w:r>
    </w:p>
    <w:p w:rsidR="0039561C" w:rsidRDefault="0039561C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39561C" w:rsidRPr="00520D17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rPr>
          <w:spacing w:val="-1"/>
        </w:rPr>
        <w:t>Ensure Clients meet the BPAP eligibility criteria</w:t>
      </w:r>
      <w:r w:rsidR="00520D17">
        <w:rPr>
          <w:spacing w:val="-1"/>
        </w:rPr>
        <w:t>.</w:t>
      </w:r>
    </w:p>
    <w:p w:rsidR="00520D17" w:rsidRDefault="00520D17" w:rsidP="00520D17">
      <w:pPr>
        <w:pStyle w:val="ListParagraph"/>
      </w:pPr>
    </w:p>
    <w:p w:rsidR="00520D17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t>Contact ABC with concerns, questions and unusual requests. If a client’s eligibility is uncertain, an authorization or reauthorization must not be done</w:t>
      </w:r>
      <w:r w:rsidR="00520D17">
        <w:t>.</w:t>
      </w:r>
    </w:p>
    <w:p w:rsidR="00520D17" w:rsidRDefault="00520D17" w:rsidP="00520D17">
      <w:pPr>
        <w:pStyle w:val="ListParagraph"/>
      </w:pPr>
    </w:p>
    <w:p w:rsidR="00520D17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t>Ensure all items on the Client Education Package Checklist are covered with the client (caregiver) during the BPAP initiation</w:t>
      </w:r>
      <w:r w:rsidR="00520D17">
        <w:t>.</w:t>
      </w:r>
    </w:p>
    <w:p w:rsidR="00520D17" w:rsidRDefault="00520D17" w:rsidP="00520D17">
      <w:pPr>
        <w:pStyle w:val="ListParagraph"/>
      </w:pPr>
    </w:p>
    <w:p w:rsidR="00520D17" w:rsidRDefault="00FA279E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t>Determine the appropriate equipment to best meet the Client’s needs (refer to Schedule 4 – BPAP Equipment Specifications)</w:t>
      </w:r>
      <w:r w:rsidR="00520D17">
        <w:t>.</w:t>
      </w:r>
    </w:p>
    <w:p w:rsidR="00520D17" w:rsidRDefault="00520D17" w:rsidP="00520D17">
      <w:pPr>
        <w:pStyle w:val="ListParagraph"/>
      </w:pPr>
    </w:p>
    <w:p w:rsidR="00A02938" w:rsidRDefault="00FA279E" w:rsidP="00A02938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932"/>
      </w:pPr>
      <w:r>
        <w:t>Obtain any updated BPAP prescription from the physician and adjust BPAP setting based on the revised prescription, and:</w:t>
      </w:r>
      <w:r w:rsidR="00A02938" w:rsidRPr="00A02938">
        <w:t xml:space="preserve"> </w:t>
      </w:r>
    </w:p>
    <w:p w:rsidR="00A02938" w:rsidRDefault="00A02938" w:rsidP="00A02938">
      <w:pPr>
        <w:pStyle w:val="ListParagraph"/>
      </w:pPr>
    </w:p>
    <w:p w:rsidR="00A02938" w:rsidRDefault="00A02938" w:rsidP="00A02938">
      <w:pPr>
        <w:pStyle w:val="BodyText"/>
        <w:numPr>
          <w:ilvl w:val="1"/>
          <w:numId w:val="1"/>
        </w:numPr>
        <w:tabs>
          <w:tab w:val="left" w:pos="810"/>
        </w:tabs>
        <w:kinsoku w:val="0"/>
        <w:overflowPunct w:val="0"/>
        <w:ind w:left="810" w:right="932" w:hanging="270"/>
      </w:pPr>
      <w:r>
        <w:t>Update the information card or the Respiratory Therapy BPAP Communication Tool which is inserted in the pouch attached to the BPAP device.</w:t>
      </w:r>
    </w:p>
    <w:p w:rsidR="00A02938" w:rsidRDefault="00A02938" w:rsidP="00A02938">
      <w:pPr>
        <w:pStyle w:val="BodyText"/>
        <w:numPr>
          <w:ilvl w:val="1"/>
          <w:numId w:val="1"/>
        </w:numPr>
        <w:tabs>
          <w:tab w:val="left" w:pos="810"/>
        </w:tabs>
        <w:kinsoku w:val="0"/>
        <w:overflowPunct w:val="0"/>
        <w:ind w:left="810" w:right="932" w:hanging="270"/>
      </w:pPr>
      <w:r>
        <w:t>Notify other health professionals involved in Client’s care.</w:t>
      </w:r>
    </w:p>
    <w:p w:rsidR="00A02938" w:rsidRDefault="00A02938" w:rsidP="00A02938">
      <w:pPr>
        <w:pStyle w:val="BodyText"/>
        <w:numPr>
          <w:ilvl w:val="1"/>
          <w:numId w:val="1"/>
        </w:numPr>
        <w:tabs>
          <w:tab w:val="left" w:pos="810"/>
        </w:tabs>
        <w:kinsoku w:val="0"/>
        <w:overflowPunct w:val="0"/>
        <w:ind w:left="810" w:right="932" w:hanging="270"/>
      </w:pPr>
      <w:r>
        <w:t>Document updated BPAP settings, the date they were updated, name of the prescribing physician and the date of the prescription under Benefit Note in e-business.</w:t>
      </w:r>
    </w:p>
    <w:p w:rsidR="00A02938" w:rsidRDefault="00A02938" w:rsidP="00A02938">
      <w:pPr>
        <w:pStyle w:val="ListParagraph"/>
      </w:pPr>
    </w:p>
    <w:p w:rsidR="00A02938" w:rsidRDefault="00A02938" w:rsidP="00520D17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t xml:space="preserve">Adhere to the ABC </w:t>
      </w:r>
      <w:r w:rsidR="00536C73">
        <w:t>Provid</w:t>
      </w:r>
      <w:r>
        <w:t>er Agreement and both the general AADL and BPAP policies and procedures.</w:t>
      </w:r>
    </w:p>
    <w:p w:rsidR="00A02938" w:rsidRDefault="00A02938" w:rsidP="00A02938">
      <w:pPr>
        <w:pStyle w:val="ListParagraph"/>
      </w:pPr>
    </w:p>
    <w:p w:rsidR="00A02938" w:rsidRDefault="00A02938" w:rsidP="00520D17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t>Resolve all errors relating to the assessment of a Client’s benefits, eligibility status and billing concerns. This includes correcting claims and resubmitting as required. Unresolved errors may result in loss of funding to the Specialty Supplier.</w:t>
      </w:r>
    </w:p>
    <w:p w:rsidR="00A02938" w:rsidRDefault="00A02938" w:rsidP="00A02938">
      <w:pPr>
        <w:pStyle w:val="ListParagraph"/>
      </w:pPr>
    </w:p>
    <w:p w:rsidR="00A02938" w:rsidRDefault="00A02938" w:rsidP="00520D17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t xml:space="preserve">Bill the BPAP per diem rate based on the number of </w:t>
      </w:r>
      <w:proofErr w:type="gramStart"/>
      <w:r>
        <w:t>days</w:t>
      </w:r>
      <w:proofErr w:type="gramEnd"/>
      <w:r>
        <w:t xml:space="preserve"> client is eligible for funding and before discontinuation.</w:t>
      </w:r>
    </w:p>
    <w:p w:rsidR="00A02938" w:rsidRDefault="00A02938" w:rsidP="00A02938">
      <w:pPr>
        <w:pStyle w:val="ListParagraph"/>
      </w:pPr>
    </w:p>
    <w:p w:rsidR="00A02938" w:rsidRDefault="00A02938" w:rsidP="00A02938">
      <w:pPr>
        <w:pStyle w:val="BodyText"/>
        <w:numPr>
          <w:ilvl w:val="0"/>
          <w:numId w:val="3"/>
        </w:numPr>
        <w:tabs>
          <w:tab w:val="left" w:pos="500"/>
        </w:tabs>
        <w:kinsoku w:val="0"/>
        <w:overflowPunct w:val="0"/>
      </w:pPr>
      <w:r>
        <w:t>Exception: If client is discontinued less than one month after the BPAP initiation, the Specialty Supplier can bill one month Initiation Period – Service fee or one month Reinstruction Period – Service fee.</w:t>
      </w:r>
    </w:p>
    <w:p w:rsidR="00A02938" w:rsidRDefault="00A02938" w:rsidP="00A02938">
      <w:pPr>
        <w:pStyle w:val="ListParagraph"/>
      </w:pPr>
    </w:p>
    <w:p w:rsidR="00A02938" w:rsidRDefault="00A02938" w:rsidP="00A02938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spacing w:after="240"/>
      </w:pPr>
      <w:r>
        <w:lastRenderedPageBreak/>
        <w:t>Document comments and concerns about difficulties with Client’s compliance in client’s record. Files must be available for audit by ABC.</w:t>
      </w:r>
    </w:p>
    <w:p w:rsidR="00A02938" w:rsidRDefault="00A02938" w:rsidP="00A02938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spacing w:after="240"/>
      </w:pPr>
      <w:r>
        <w:t>Ensure clients sign the BPAP Client’s Roles and Responsibilities for</w:t>
      </w:r>
      <w:r w:rsidR="00CE1680">
        <w:t>m</w:t>
      </w:r>
      <w:bookmarkStart w:id="0" w:name="_GoBack"/>
      <w:bookmarkEnd w:id="0"/>
      <w:r>
        <w:t xml:space="preserve"> and the BPAP Client Declaration form.</w:t>
      </w:r>
    </w:p>
    <w:p w:rsidR="00E11205" w:rsidRDefault="00E11205" w:rsidP="00E11205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932"/>
      </w:pPr>
      <w:r>
        <w:t>Extend long-term Clients on-line prior to the funding termination date if:</w:t>
      </w:r>
      <w:r w:rsidRPr="00E11205">
        <w:t xml:space="preserve"> </w:t>
      </w:r>
    </w:p>
    <w:p w:rsidR="00E11205" w:rsidRDefault="00E11205" w:rsidP="00E11205">
      <w:pPr>
        <w:pStyle w:val="ListParagraph"/>
      </w:pPr>
    </w:p>
    <w:p w:rsidR="00E11205" w:rsidRDefault="00E11205" w:rsidP="00E11205">
      <w:pPr>
        <w:pStyle w:val="BodyText"/>
        <w:numPr>
          <w:ilvl w:val="1"/>
          <w:numId w:val="1"/>
        </w:numPr>
        <w:tabs>
          <w:tab w:val="left" w:pos="810"/>
        </w:tabs>
        <w:kinsoku w:val="0"/>
        <w:overflowPunct w:val="0"/>
        <w:ind w:left="810" w:right="932" w:hanging="270"/>
      </w:pPr>
      <w:r>
        <w:t>Client’s objective compliance is at least 4 hours per day for 70% of the time.</w:t>
      </w:r>
    </w:p>
    <w:p w:rsidR="00E11205" w:rsidRDefault="00E11205" w:rsidP="00E11205">
      <w:pPr>
        <w:pStyle w:val="BodyText"/>
        <w:numPr>
          <w:ilvl w:val="1"/>
          <w:numId w:val="1"/>
        </w:numPr>
        <w:tabs>
          <w:tab w:val="left" w:pos="810"/>
        </w:tabs>
        <w:kinsoku w:val="0"/>
        <w:overflowPunct w:val="0"/>
        <w:ind w:left="810" w:right="932" w:hanging="270"/>
      </w:pPr>
      <w:r>
        <w:t>A compliance download is done every 6 months. Its end date must be within a month from the submission date.</w:t>
      </w:r>
    </w:p>
    <w:p w:rsidR="00E11205" w:rsidRDefault="00E11205" w:rsidP="00E11205">
      <w:pPr>
        <w:pStyle w:val="BodyText"/>
        <w:numPr>
          <w:ilvl w:val="1"/>
          <w:numId w:val="1"/>
        </w:numPr>
        <w:tabs>
          <w:tab w:val="left" w:pos="810"/>
        </w:tabs>
        <w:kinsoku w:val="0"/>
        <w:overflowPunct w:val="0"/>
        <w:ind w:left="810" w:right="932" w:hanging="270"/>
      </w:pPr>
      <w:r>
        <w:t>Yearly respiratory assessment is done within3 months from the expiry date.</w:t>
      </w:r>
    </w:p>
    <w:p w:rsidR="00E11205" w:rsidRDefault="00E11205" w:rsidP="00E11205">
      <w:pPr>
        <w:pStyle w:val="BodyText"/>
        <w:tabs>
          <w:tab w:val="left" w:pos="500"/>
        </w:tabs>
        <w:kinsoku w:val="0"/>
        <w:overflowPunct w:val="0"/>
        <w:spacing w:after="240"/>
        <w:ind w:firstLine="0"/>
      </w:pPr>
      <w:r>
        <w:t>Prior approval is required if Client does not meet any of the above requirements. Also, failure to extend BPAP benefits prior to the authorization expiry date will result in a gap in funding.</w:t>
      </w:r>
    </w:p>
    <w:p w:rsidR="00E11205" w:rsidRDefault="00E11205" w:rsidP="00A02938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spacing w:after="240"/>
      </w:pPr>
      <w:r>
        <w:t>Submit all requests for funding extension (with re-authorization documents) that require prior approval to RBP prior to the authorization expiry date. Failure to do so will result in a gap in funding.</w:t>
      </w:r>
    </w:p>
    <w:p w:rsidR="0039561C" w:rsidRDefault="00E11205" w:rsidP="00A02938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spacing w:after="240"/>
      </w:pPr>
      <w:r>
        <w:t>Provide RBP with a BPAP client’s discontinued list within the first two weeks of every month</w:t>
      </w:r>
      <w:r w:rsidR="00520D17">
        <w:t xml:space="preserve">. </w:t>
      </w:r>
    </w:p>
    <w:sectPr w:rsidR="0039561C" w:rsidSect="00AB4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60" w:right="380" w:bottom="280" w:left="5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F0" w:rsidRDefault="00C604F0" w:rsidP="00C604F0">
      <w:r>
        <w:separator/>
      </w:r>
    </w:p>
  </w:endnote>
  <w:endnote w:type="continuationSeparator" w:id="0">
    <w:p w:rsidR="00C604F0" w:rsidRDefault="00C604F0" w:rsidP="00C6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FB" w:rsidRDefault="00FD1B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F0" w:rsidRDefault="00C604F0">
    <w:pPr>
      <w:pStyle w:val="Footer"/>
    </w:pPr>
  </w:p>
  <w:tbl>
    <w:tblPr>
      <w:tblW w:w="0" w:type="auto"/>
      <w:tblInd w:w="100" w:type="dxa"/>
      <w:tblLayout w:type="fixed"/>
      <w:tblCellMar>
        <w:left w:w="0" w:type="dxa"/>
        <w:right w:w="0" w:type="dxa"/>
      </w:tblCellMar>
      <w:tblLook w:val="0000"/>
    </w:tblPr>
    <w:tblGrid>
      <w:gridCol w:w="3064"/>
      <w:gridCol w:w="87"/>
      <w:gridCol w:w="3999"/>
      <w:gridCol w:w="611"/>
      <w:gridCol w:w="2176"/>
      <w:gridCol w:w="1138"/>
    </w:tblGrid>
    <w:tr w:rsidR="00C604F0" w:rsidTr="006511FF">
      <w:trPr>
        <w:trHeight w:hRule="exact" w:val="553"/>
      </w:trPr>
      <w:tc>
        <w:tcPr>
          <w:tcW w:w="3064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C604F0" w:rsidRDefault="00C604F0" w:rsidP="006511FF">
          <w:pPr>
            <w:pStyle w:val="TableParagraph"/>
            <w:kinsoku w:val="0"/>
            <w:overflowPunct w:val="0"/>
            <w:spacing w:before="12"/>
            <w:ind w:left="4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©</w:t>
          </w:r>
          <w:r>
            <w:rPr>
              <w:rFonts w:ascii="Arial" w:hAnsi="Arial" w:cs="Arial"/>
              <w:spacing w:val="-8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pacing w:val="-1"/>
              <w:sz w:val="20"/>
              <w:szCs w:val="20"/>
            </w:rPr>
            <w:t>2</w:t>
          </w:r>
          <w:r>
            <w:rPr>
              <w:rFonts w:ascii="Arial" w:hAnsi="Arial" w:cs="Arial"/>
              <w:spacing w:val="1"/>
              <w:sz w:val="20"/>
              <w:szCs w:val="20"/>
            </w:rPr>
            <w:t>0</w:t>
          </w:r>
          <w:r>
            <w:rPr>
              <w:rFonts w:ascii="Arial" w:hAnsi="Arial" w:cs="Arial"/>
              <w:spacing w:val="-1"/>
              <w:sz w:val="20"/>
              <w:szCs w:val="20"/>
            </w:rPr>
            <w:t>1</w:t>
          </w:r>
          <w:r w:rsidR="00520D17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pacing w:val="-7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</w:t>
          </w:r>
          <w:r>
            <w:rPr>
              <w:rFonts w:ascii="Arial" w:hAnsi="Arial" w:cs="Arial"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spacing w:val="-2"/>
              <w:sz w:val="20"/>
              <w:szCs w:val="20"/>
            </w:rPr>
            <w:t>v</w:t>
          </w:r>
          <w:r>
            <w:rPr>
              <w:rFonts w:ascii="Arial" w:hAnsi="Arial" w:cs="Arial"/>
              <w:sz w:val="20"/>
              <w:szCs w:val="20"/>
            </w:rPr>
            <w:t>ern</w:t>
          </w:r>
          <w:r>
            <w:rPr>
              <w:rFonts w:ascii="Arial" w:hAnsi="Arial" w:cs="Arial"/>
              <w:spacing w:val="4"/>
              <w:sz w:val="20"/>
              <w:szCs w:val="20"/>
            </w:rPr>
            <w:t>m</w:t>
          </w:r>
          <w:r>
            <w:rPr>
              <w:rFonts w:ascii="Arial" w:hAnsi="Arial" w:cs="Arial"/>
              <w:sz w:val="20"/>
              <w:szCs w:val="20"/>
            </w:rPr>
            <w:t>e</w:t>
          </w:r>
          <w:r>
            <w:rPr>
              <w:rFonts w:ascii="Arial" w:hAnsi="Arial" w:cs="Arial"/>
              <w:spacing w:val="-1"/>
              <w:sz w:val="20"/>
              <w:szCs w:val="20"/>
            </w:rPr>
            <w:t>n</w:t>
          </w:r>
          <w:r>
            <w:rPr>
              <w:rFonts w:ascii="Arial" w:hAnsi="Arial" w:cs="Arial"/>
              <w:sz w:val="20"/>
              <w:szCs w:val="20"/>
            </w:rPr>
            <w:t>t</w:t>
          </w:r>
          <w:r>
            <w:rPr>
              <w:rFonts w:ascii="Arial" w:hAnsi="Arial" w:cs="Arial"/>
              <w:spacing w:val="-7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pacing w:val="-1"/>
              <w:sz w:val="20"/>
              <w:szCs w:val="20"/>
            </w:rPr>
            <w:t>o</w:t>
          </w:r>
          <w:r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pacing w:val="1"/>
              <w:sz w:val="20"/>
              <w:szCs w:val="20"/>
            </w:rPr>
            <w:t>A</w:t>
          </w:r>
          <w:r>
            <w:rPr>
              <w:rFonts w:ascii="Arial" w:hAnsi="Arial" w:cs="Arial"/>
              <w:spacing w:val="-1"/>
              <w:sz w:val="20"/>
              <w:szCs w:val="20"/>
            </w:rPr>
            <w:t>l</w:t>
          </w:r>
          <w:r>
            <w:rPr>
              <w:rFonts w:ascii="Arial" w:hAnsi="Arial" w:cs="Arial"/>
              <w:spacing w:val="1"/>
              <w:sz w:val="20"/>
              <w:szCs w:val="20"/>
            </w:rPr>
            <w:t>b</w:t>
          </w:r>
          <w:r>
            <w:rPr>
              <w:rFonts w:ascii="Arial" w:hAnsi="Arial" w:cs="Arial"/>
              <w:sz w:val="20"/>
              <w:szCs w:val="20"/>
            </w:rPr>
            <w:t>erta</w:t>
          </w:r>
        </w:p>
        <w:p w:rsidR="00C604F0" w:rsidRDefault="00C604F0" w:rsidP="00520D17">
          <w:pPr>
            <w:pStyle w:val="TableParagraph"/>
            <w:kinsoku w:val="0"/>
            <w:overflowPunct w:val="0"/>
            <w:spacing w:before="2"/>
            <w:ind w:left="40"/>
          </w:pPr>
          <w:r>
            <w:rPr>
              <w:rFonts w:ascii="Arial" w:hAnsi="Arial" w:cs="Arial"/>
              <w:sz w:val="18"/>
              <w:szCs w:val="18"/>
            </w:rPr>
            <w:t>(201</w:t>
          </w:r>
          <w:r w:rsidR="00520D17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pacing w:val="-2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07/</w:t>
          </w:r>
          <w:r>
            <w:rPr>
              <w:rFonts w:ascii="Arial" w:hAnsi="Arial" w:cs="Arial"/>
              <w:spacing w:val="-2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1)</w:t>
          </w:r>
        </w:p>
      </w:tc>
      <w:tc>
        <w:tcPr>
          <w:tcW w:w="87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C604F0" w:rsidRDefault="00C604F0" w:rsidP="006511FF"/>
      </w:tc>
      <w:tc>
        <w:tcPr>
          <w:tcW w:w="3999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C604F0" w:rsidRDefault="00C604F0" w:rsidP="006511FF"/>
      </w:tc>
      <w:tc>
        <w:tcPr>
          <w:tcW w:w="611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C604F0" w:rsidRDefault="00C604F0" w:rsidP="006511FF"/>
      </w:tc>
      <w:tc>
        <w:tcPr>
          <w:tcW w:w="2176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C604F0" w:rsidRDefault="00C604F0" w:rsidP="006511FF"/>
      </w:tc>
      <w:tc>
        <w:tcPr>
          <w:tcW w:w="1138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C604F0" w:rsidRDefault="00C604F0" w:rsidP="000B2A91">
          <w:pPr>
            <w:pStyle w:val="TableParagraph"/>
            <w:kinsoku w:val="0"/>
            <w:overflowPunct w:val="0"/>
            <w:spacing w:before="12"/>
            <w:ind w:left="62"/>
          </w:pPr>
        </w:p>
      </w:tc>
    </w:tr>
  </w:tbl>
  <w:p w:rsidR="00C604F0" w:rsidRDefault="00C604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FB" w:rsidRDefault="00FD1B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F0" w:rsidRDefault="00C604F0" w:rsidP="00C604F0">
      <w:r>
        <w:separator/>
      </w:r>
    </w:p>
  </w:footnote>
  <w:footnote w:type="continuationSeparator" w:id="0">
    <w:p w:rsidR="00C604F0" w:rsidRDefault="00C604F0" w:rsidP="00C60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FB" w:rsidRDefault="00FD1B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FB" w:rsidRDefault="00FD1B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FB" w:rsidRDefault="00FD1B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B713D5D"/>
    <w:multiLevelType w:val="hybridMultilevel"/>
    <w:tmpl w:val="D61EF0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3199B"/>
    <w:multiLevelType w:val="hybridMultilevel"/>
    <w:tmpl w:val="F1A256B8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864E0"/>
    <w:rsid w:val="00096A57"/>
    <w:rsid w:val="000B2A91"/>
    <w:rsid w:val="001F209D"/>
    <w:rsid w:val="0039561C"/>
    <w:rsid w:val="00520D17"/>
    <w:rsid w:val="00536C73"/>
    <w:rsid w:val="0062497E"/>
    <w:rsid w:val="006B7201"/>
    <w:rsid w:val="007549C8"/>
    <w:rsid w:val="008A3554"/>
    <w:rsid w:val="00A02938"/>
    <w:rsid w:val="00A842BE"/>
    <w:rsid w:val="00AB44E5"/>
    <w:rsid w:val="00C269A5"/>
    <w:rsid w:val="00C604F0"/>
    <w:rsid w:val="00C864E0"/>
    <w:rsid w:val="00CE1680"/>
    <w:rsid w:val="00D275CB"/>
    <w:rsid w:val="00E11205"/>
    <w:rsid w:val="00F735FA"/>
    <w:rsid w:val="00FA279E"/>
    <w:rsid w:val="00FD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44E5"/>
    <w:pPr>
      <w:ind w:left="1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44E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B44E5"/>
    <w:pPr>
      <w:ind w:left="50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4E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B44E5"/>
  </w:style>
  <w:style w:type="paragraph" w:customStyle="1" w:styleId="TableParagraph">
    <w:name w:val="Table Paragraph"/>
    <w:basedOn w:val="Normal"/>
    <w:uiPriority w:val="1"/>
    <w:qFormat/>
    <w:rsid w:val="00AB44E5"/>
  </w:style>
  <w:style w:type="paragraph" w:styleId="BalloonText">
    <w:name w:val="Balloon Text"/>
    <w:basedOn w:val="Normal"/>
    <w:link w:val="BalloonTextChar"/>
    <w:uiPriority w:val="99"/>
    <w:semiHidden/>
    <w:unhideWhenUsed/>
    <w:rsid w:val="00754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F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0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F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AADL BPAP Client Roles and Responsibilities</vt:lpstr>
    </vt:vector>
  </TitlesOfParts>
  <Company>GOA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AADL BPAP Client Roles and Responsibilities</dc:title>
  <dc:subject>Respiratory Benefits Program</dc:subject>
  <dc:creator>Alberta Health</dc:creator>
  <cp:lastModifiedBy>abalenov</cp:lastModifiedBy>
  <cp:revision>2</cp:revision>
  <dcterms:created xsi:type="dcterms:W3CDTF">2017-11-10T21:16:00Z</dcterms:created>
  <dcterms:modified xsi:type="dcterms:W3CDTF">2017-11-10T21:16:00Z</dcterms:modified>
</cp:coreProperties>
</file>